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02E9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02E9E">
        <w:rPr>
          <w:rFonts w:ascii="Times New Roman" w:eastAsia="標楷體" w:hAnsi="Times New Roman" w:cs="Times New Roman"/>
          <w:color w:val="212529"/>
          <w:kern w:val="0"/>
          <w:sz w:val="40"/>
          <w:szCs w:val="40"/>
        </w:rPr>
        <w:t>11</w:t>
      </w:r>
      <w:r w:rsidR="00A11C96" w:rsidRPr="00702E9E">
        <w:rPr>
          <w:rFonts w:ascii="Times New Roman" w:eastAsia="標楷體" w:hAnsi="Times New Roman" w:cs="Times New Roman"/>
          <w:color w:val="212529"/>
          <w:kern w:val="0"/>
          <w:sz w:val="40"/>
          <w:szCs w:val="40"/>
        </w:rPr>
        <w:t>1</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年全國語文競賽原住民族語朗讀</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w:t>
      </w:r>
      <w:r w:rsidR="00EF365F" w:rsidRPr="00EF365F">
        <w:rPr>
          <w:rFonts w:ascii="Times New Roman" w:eastAsia="標楷體" w:hAnsi="Times New Roman" w:cs="Times New Roman" w:hint="eastAsia"/>
          <w:color w:val="212529"/>
          <w:kern w:val="0"/>
          <w:sz w:val="40"/>
          <w:szCs w:val="40"/>
        </w:rPr>
        <w:t>汶水泰雅語</w:t>
      </w:r>
      <w:r w:rsidRPr="00702E9E">
        <w:rPr>
          <w:rFonts w:ascii="Times New Roman" w:eastAsia="標楷體" w:hAnsi="Times New Roman" w:cs="Times New Roman"/>
          <w:color w:val="212529"/>
          <w:kern w:val="0"/>
          <w:sz w:val="40"/>
          <w:szCs w:val="40"/>
        </w:rPr>
        <w:t>】</w:t>
      </w:r>
      <w:r w:rsidR="00E34B16" w:rsidRPr="00702E9E">
        <w:rPr>
          <w:rFonts w:ascii="Times New Roman" w:eastAsia="標楷體" w:hAnsi="Times New Roman" w:cs="Times New Roman"/>
          <w:color w:val="212529"/>
          <w:kern w:val="0"/>
          <w:sz w:val="40"/>
          <w:szCs w:val="40"/>
        </w:rPr>
        <w:t xml:space="preserve"> </w:t>
      </w:r>
      <w:r w:rsidR="007E5159" w:rsidRPr="007E5159">
        <w:rPr>
          <w:rFonts w:ascii="Times New Roman" w:eastAsia="標楷體" w:hAnsi="Times New Roman" w:cs="Times New Roman" w:hint="eastAsia"/>
          <w:color w:val="212529"/>
          <w:kern w:val="0"/>
          <w:sz w:val="40"/>
          <w:szCs w:val="40"/>
        </w:rPr>
        <w:t>國</w:t>
      </w:r>
      <w:r w:rsidR="0054145B">
        <w:rPr>
          <w:rFonts w:ascii="Times New Roman" w:eastAsia="標楷體" w:hAnsi="Times New Roman" w:cs="Times New Roman" w:hint="eastAsia"/>
          <w:color w:val="212529"/>
          <w:kern w:val="0"/>
          <w:sz w:val="40"/>
          <w:szCs w:val="40"/>
        </w:rPr>
        <w:t>中</w:t>
      </w:r>
      <w:r w:rsidRPr="00702E9E">
        <w:rPr>
          <w:rFonts w:ascii="Times New Roman" w:eastAsia="標楷體" w:hAnsi="Times New Roman" w:cs="Times New Roman"/>
          <w:color w:val="212529"/>
          <w:kern w:val="0"/>
          <w:sz w:val="40"/>
          <w:szCs w:val="40"/>
        </w:rPr>
        <w:t>學生組</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編號</w:t>
      </w:r>
      <w:r w:rsidR="00E34B16" w:rsidRPr="00702E9E">
        <w:rPr>
          <w:rFonts w:ascii="Times New Roman" w:eastAsia="標楷體" w:hAnsi="Times New Roman" w:cs="Times New Roman"/>
          <w:color w:val="212529"/>
          <w:kern w:val="0"/>
          <w:sz w:val="40"/>
          <w:szCs w:val="40"/>
        </w:rPr>
        <w:t xml:space="preserve"> </w:t>
      </w:r>
      <w:r w:rsidR="0080442A">
        <w:rPr>
          <w:rFonts w:ascii="Times New Roman" w:eastAsia="標楷體" w:hAnsi="Times New Roman" w:cs="Times New Roman" w:hint="eastAsia"/>
          <w:color w:val="212529"/>
          <w:kern w:val="0"/>
          <w:sz w:val="40"/>
          <w:szCs w:val="40"/>
        </w:rPr>
        <w:t>2</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號</w:t>
      </w:r>
    </w:p>
    <w:p w:rsidR="0067586F" w:rsidRPr="007E5159" w:rsidRDefault="00F97ECA"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F97ECA">
        <w:rPr>
          <w:rFonts w:ascii="Times New Roman" w:eastAsia="標楷體" w:hAnsi="Times New Roman" w:cs="Times New Roman"/>
          <w:color w:val="212529"/>
          <w:kern w:val="0"/>
          <w:sz w:val="40"/>
          <w:szCs w:val="40"/>
        </w:rPr>
        <w:t>tatangangan</w:t>
      </w:r>
    </w:p>
    <w:p w:rsidR="006818CA" w:rsidRPr="007E5159"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7E515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E5159" w:rsidSect="00B85A90">
          <w:pgSz w:w="23814" w:h="16839" w:orient="landscape" w:code="8"/>
          <w:pgMar w:top="1134" w:right="1474" w:bottom="1134" w:left="1474" w:header="851" w:footer="992" w:gutter="0"/>
          <w:cols w:space="425"/>
          <w:docGrid w:type="lines" w:linePitch="360"/>
        </w:sectPr>
      </w:pPr>
    </w:p>
    <w:p w:rsidR="00F97ECA" w:rsidRPr="00F97ECA" w:rsidRDefault="00F97ECA" w:rsidP="00F97EC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97ECA">
        <w:rPr>
          <w:rFonts w:ascii="Times New Roman" w:eastAsia="新細明體" w:hAnsi="Times New Roman" w:cs="Times New Roman"/>
          <w:color w:val="212529"/>
          <w:kern w:val="0"/>
          <w:sz w:val="32"/>
          <w:szCs w:val="32"/>
        </w:rPr>
        <w:t xml:space="preserve">yani kiya cku’ ibabawiq ka kinabalay na’ imuwaag ku’ tatangangan. kiya cku’ qutuxqutux ka tinqalangan ku’ </w:t>
      </w:r>
      <w:proofErr w:type="gramStart"/>
      <w:r w:rsidRPr="00F97ECA">
        <w:rPr>
          <w:rFonts w:ascii="Times New Roman" w:eastAsia="新細明體" w:hAnsi="Times New Roman" w:cs="Times New Roman"/>
          <w:color w:val="212529"/>
          <w:kern w:val="0"/>
          <w:sz w:val="32"/>
          <w:szCs w:val="32"/>
        </w:rPr>
        <w:t>tatangangan .</w:t>
      </w:r>
      <w:proofErr w:type="gramEnd"/>
      <w:r w:rsidRPr="00F97ECA">
        <w:rPr>
          <w:rFonts w:ascii="Times New Roman" w:eastAsia="新細明體" w:hAnsi="Times New Roman" w:cs="Times New Roman"/>
          <w:color w:val="212529"/>
          <w:kern w:val="0"/>
          <w:sz w:val="32"/>
          <w:szCs w:val="32"/>
        </w:rPr>
        <w:t xml:space="preserve"> yani ku’ musa’ qhut cu’ paris ku’ tatangangan ka hani. kiya ku’ buwinah ka ralu’ na’ Itaal nku’ tatangangan maha’, </w:t>
      </w:r>
      <w:proofErr w:type="gramStart"/>
      <w:r w:rsidRPr="00F97ECA">
        <w:rPr>
          <w:rFonts w:ascii="Times New Roman" w:eastAsia="新細明體" w:hAnsi="Times New Roman" w:cs="Times New Roman"/>
          <w:color w:val="212529"/>
          <w:kern w:val="0"/>
          <w:sz w:val="32"/>
          <w:szCs w:val="32"/>
        </w:rPr>
        <w:t>“ rawiq</w:t>
      </w:r>
      <w:proofErr w:type="gramEnd"/>
      <w:r w:rsidRPr="00F97ECA">
        <w:rPr>
          <w:rFonts w:ascii="Times New Roman" w:eastAsia="新細明體" w:hAnsi="Times New Roman" w:cs="Times New Roman"/>
          <w:color w:val="212529"/>
          <w:kern w:val="0"/>
          <w:sz w:val="32"/>
          <w:szCs w:val="32"/>
        </w:rPr>
        <w:t xml:space="preserve"> na’ tinqalangan ”.</w:t>
      </w:r>
    </w:p>
    <w:p w:rsidR="00F97ECA" w:rsidRPr="00F97ECA" w:rsidRDefault="00F97ECA" w:rsidP="00F97EC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97ECA">
        <w:rPr>
          <w:rFonts w:ascii="Times New Roman" w:eastAsia="新細明體" w:hAnsi="Times New Roman" w:cs="Times New Roman"/>
          <w:color w:val="212529"/>
          <w:kern w:val="0"/>
          <w:sz w:val="32"/>
          <w:szCs w:val="32"/>
        </w:rPr>
        <w:t>kinbalay na’ magalpu na’ kihma’ ka kahuniq ini ga buwiqa’ ku’ laluking na’ tatangangan. yani nanaq tatuu’ ini ga saspat makiya cku’ babaw na’ tatangangan. masayusayu’ cku’ tatangangan ’i’ malahang na’ itaal kari’ariax ku’ tinqalangan. tatangangan ga, san nku’ Matu’uwal maha’ macka’ lawkah kinku’ mugumalaq ka lawlawkah. sitatak cku’ ibabawiq ka wawahan na’ cuquliq na’ tinqalangan ku’ tatangangan. talan ga asiga ini baqi’ masikuwing.</w:t>
      </w:r>
    </w:p>
    <w:p w:rsidR="00F97ECA" w:rsidRPr="00F97ECA" w:rsidRDefault="00F97ECA" w:rsidP="00F97EC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97ECA">
        <w:rPr>
          <w:rFonts w:ascii="Times New Roman" w:eastAsia="新細明體" w:hAnsi="Times New Roman" w:cs="Times New Roman"/>
          <w:color w:val="212529"/>
          <w:kern w:val="0"/>
          <w:sz w:val="32"/>
          <w:szCs w:val="32"/>
        </w:rPr>
        <w:t>baq cubalayi ’i’ macbu’ ku’ Matu’uwal i’ cunga’. tatangangan ka hani ga, tarakagan niya’ ku’ tinqalangan na’ Itaal. kiya’ cku’ ibabawiq ru balaiq ’i’ ngangayan i’ tatuhi’. babaqun ku’ ik ru latanux na’ tinqalangan. kabalay cu’ tatangangan ga capaang na’ waw cubalay.</w:t>
      </w:r>
    </w:p>
    <w:p w:rsidR="00F97ECA" w:rsidRPr="00F97ECA" w:rsidRDefault="00F97ECA" w:rsidP="00F97EC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97ECA">
        <w:rPr>
          <w:rFonts w:ascii="Times New Roman" w:eastAsia="新細明體" w:hAnsi="Times New Roman" w:cs="Times New Roman"/>
          <w:color w:val="212529"/>
          <w:kern w:val="0"/>
          <w:sz w:val="32"/>
          <w:szCs w:val="32"/>
        </w:rPr>
        <w:t xml:space="preserve">kinbalay na’ raramug, buwiqa’ ru kahuniq ku’ tatangangan. caqruxun ku’ kahuniq ru buwiqa’ ru alan cu’ laluking. samagan na’ raramug ku’ </w:t>
      </w:r>
      <w:r w:rsidRPr="00F97ECA">
        <w:rPr>
          <w:rFonts w:ascii="Times New Roman" w:eastAsia="新細明體" w:hAnsi="Times New Roman" w:cs="Times New Roman"/>
          <w:color w:val="212529"/>
          <w:kern w:val="0"/>
          <w:sz w:val="32"/>
          <w:szCs w:val="32"/>
        </w:rPr>
        <w:t>babaw na’ imuwaag. matigia’uwah na’ tinqalangan ru kabalayan cu’ buwinah na’ hakri’ na’ buwiqa’. naki balaiq ’i’ makarakyas ru maqahquwaw.</w:t>
      </w:r>
    </w:p>
    <w:p w:rsidR="00F97ECA" w:rsidRPr="00F97ECA" w:rsidRDefault="00F97ECA" w:rsidP="00F97EC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97ECA">
        <w:rPr>
          <w:rFonts w:ascii="Times New Roman" w:eastAsia="新細明體" w:hAnsi="Times New Roman" w:cs="Times New Roman"/>
          <w:color w:val="212529"/>
          <w:kern w:val="0"/>
          <w:sz w:val="32"/>
          <w:szCs w:val="32"/>
        </w:rPr>
        <w:t>capaang ka balaiq na’ tatangangan ga, kabalay cku’ ik na’ tatangangan ku’ lupung. mhngiq ga, balaiq ’i’ maniq cu’ makilux ka naniqun. qamisan la ga, qumubuwang ku’ Matu’uwal cku’ ibabawiq ka tatangangan. gihak ku’ bayhu ru mahwiq ku’ rilu’. tatangangan ka hani ga, balaiq ’i’ malah ru papagiyaiyun ku’ gihak. yani ku’ san maha’ kinbalaiq na’ wawaw.</w:t>
      </w:r>
    </w:p>
    <w:p w:rsidR="00F97ECA" w:rsidRPr="00F97ECA" w:rsidRDefault="00F97ECA" w:rsidP="00F97EC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97ECA">
        <w:rPr>
          <w:rFonts w:ascii="Times New Roman" w:eastAsia="新細明體" w:hAnsi="Times New Roman" w:cs="Times New Roman"/>
          <w:color w:val="212529"/>
          <w:kern w:val="0"/>
          <w:sz w:val="32"/>
          <w:szCs w:val="32"/>
        </w:rPr>
        <w:t>tarahuwalun na’ Itaal ku’ tatangangan. talan na’ Itaal cku’ tinqalangan kari’ariax ka qalapaw. yani uwiy kiya cku’ galayng ’i’ qumubuwang cu’ tinqalangan. malahang cu’ tinqalangan ru qhut cu’ paris. maki’ cku’ babaw nku’ tatangangan ga balaiq ’i’ mitaal cku’ lalalingay nku’ tinqalangan. mitaal ku’ wawi’ na’ paris. qhut ku’ paris muwah ’i’ sumqaqarax.</w:t>
      </w:r>
    </w:p>
    <w:p w:rsidR="00E611BD" w:rsidRPr="007E5159" w:rsidRDefault="00F97ECA" w:rsidP="00F97EC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97ECA">
        <w:rPr>
          <w:rFonts w:ascii="Times New Roman" w:eastAsia="新細明體" w:hAnsi="Times New Roman" w:cs="Times New Roman"/>
          <w:color w:val="212529"/>
          <w:kern w:val="0"/>
          <w:sz w:val="32"/>
          <w:szCs w:val="32"/>
        </w:rPr>
        <w:t>talan sawni ku’ tatangangan ga yani nanaq ku’ lumuhing cku’ gaga ru pasibaq cu’ ul’ulaqi’ la. ar’aruwa’ payux ku’ papatasan kabalay cu’ tatangangan. pasibaqan cku’ ulu’laqi’ naha’ makibaq ku’ gaga na’ tatangangan.</w:t>
      </w:r>
    </w:p>
    <w:p w:rsidR="00FF0E83" w:rsidRPr="007E5159" w:rsidRDefault="00FF0E83" w:rsidP="00E611BD">
      <w:pPr>
        <w:widowControl/>
        <w:spacing w:line="480" w:lineRule="atLeast"/>
        <w:jc w:val="center"/>
        <w:rPr>
          <w:rFonts w:ascii="Times New Roman" w:eastAsia="新細明體" w:hAnsi="Times New Roman" w:cs="Times New Roman" w:hint="eastAsia"/>
          <w:color w:val="212529"/>
          <w:kern w:val="0"/>
          <w:sz w:val="32"/>
          <w:szCs w:val="32"/>
        </w:rPr>
        <w:sectPr w:rsidR="00FF0E83" w:rsidRPr="007E5159"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標楷體" w:eastAsia="標楷體" w:hAnsi="標楷體" w:cs="Times New Roman"/>
          <w:color w:val="212529"/>
          <w:kern w:val="0"/>
          <w:sz w:val="40"/>
          <w:szCs w:val="40"/>
        </w:rPr>
      </w:pPr>
      <w:r>
        <w:rPr>
          <w:rFonts w:ascii="標楷體" w:eastAsia="標楷體" w:hAnsi="標楷體" w:cs="Times New Roman"/>
          <w:color w:val="212529"/>
          <w:kern w:val="0"/>
          <w:sz w:val="40"/>
          <w:szCs w:val="40"/>
        </w:rPr>
        <w:lastRenderedPageBreak/>
        <w:t>111</w:t>
      </w:r>
      <w:r w:rsidR="00E611BD" w:rsidRPr="00E611BD">
        <w:rPr>
          <w:rFonts w:ascii="標楷體" w:eastAsia="標楷體" w:hAnsi="標楷體" w:cs="Times New Roman"/>
          <w:color w:val="212529"/>
          <w:kern w:val="0"/>
          <w:sz w:val="40"/>
          <w:szCs w:val="40"/>
        </w:rPr>
        <w:t xml:space="preserve"> 年全國語文競賽原住民族語朗讀 【</w:t>
      </w:r>
      <w:r w:rsidR="00EF365F" w:rsidRPr="00EF365F">
        <w:rPr>
          <w:rFonts w:ascii="標楷體" w:eastAsia="標楷體" w:hAnsi="標楷體" w:cs="Times New Roman" w:hint="eastAsia"/>
          <w:color w:val="212529"/>
          <w:kern w:val="0"/>
          <w:sz w:val="40"/>
          <w:szCs w:val="40"/>
        </w:rPr>
        <w:t>汶水泰雅語</w:t>
      </w:r>
      <w:r w:rsidR="00E611BD" w:rsidRPr="00E611BD">
        <w:rPr>
          <w:rFonts w:ascii="標楷體" w:eastAsia="標楷體" w:hAnsi="標楷體" w:cs="Times New Roman"/>
          <w:color w:val="212529"/>
          <w:kern w:val="0"/>
          <w:sz w:val="40"/>
          <w:szCs w:val="40"/>
        </w:rPr>
        <w:t xml:space="preserve">】 </w:t>
      </w:r>
      <w:r w:rsidR="007E5159" w:rsidRPr="007E5159">
        <w:rPr>
          <w:rFonts w:ascii="標楷體" w:eastAsia="標楷體" w:hAnsi="標楷體" w:cs="Times New Roman" w:hint="eastAsia"/>
          <w:color w:val="212529"/>
          <w:kern w:val="0"/>
          <w:sz w:val="40"/>
          <w:szCs w:val="40"/>
        </w:rPr>
        <w:t>國</w:t>
      </w:r>
      <w:r w:rsidR="00E611BD" w:rsidRPr="00E611BD">
        <w:rPr>
          <w:rFonts w:ascii="標楷體" w:eastAsia="標楷體" w:hAnsi="標楷體" w:cs="Times New Roman"/>
          <w:color w:val="212529"/>
          <w:kern w:val="0"/>
          <w:sz w:val="40"/>
          <w:szCs w:val="40"/>
        </w:rPr>
        <w:t xml:space="preserve">中學生組 編號 </w:t>
      </w:r>
      <w:r w:rsidR="0080442A">
        <w:rPr>
          <w:rFonts w:ascii="標楷體" w:eastAsia="標楷體" w:hAnsi="標楷體" w:cs="Times New Roman" w:hint="eastAsia"/>
          <w:color w:val="212529"/>
          <w:kern w:val="0"/>
          <w:sz w:val="40"/>
          <w:szCs w:val="40"/>
        </w:rPr>
        <w:t>2</w:t>
      </w:r>
      <w:r w:rsidR="00E611BD" w:rsidRPr="00E611BD">
        <w:rPr>
          <w:rFonts w:ascii="標楷體" w:eastAsia="標楷體" w:hAnsi="標楷體" w:cs="Times New Roman"/>
          <w:color w:val="212529"/>
          <w:kern w:val="0"/>
          <w:sz w:val="40"/>
          <w:szCs w:val="40"/>
        </w:rPr>
        <w:t xml:space="preserve"> 號</w:t>
      </w:r>
    </w:p>
    <w:p w:rsidR="00E611BD" w:rsidRPr="00E611BD" w:rsidRDefault="00F97ECA" w:rsidP="00E611BD">
      <w:pPr>
        <w:widowControl/>
        <w:spacing w:line="480" w:lineRule="atLeast"/>
        <w:jc w:val="center"/>
        <w:rPr>
          <w:rFonts w:ascii="標楷體" w:eastAsia="標楷體" w:hAnsi="標楷體" w:cs="Times New Roman"/>
          <w:color w:val="212529"/>
          <w:kern w:val="0"/>
          <w:sz w:val="40"/>
          <w:szCs w:val="40"/>
        </w:rPr>
      </w:pPr>
      <w:r w:rsidRPr="00F97ECA">
        <w:rPr>
          <w:rFonts w:ascii="標楷體" w:eastAsia="標楷體" w:hAnsi="標楷體" w:cs="Times New Roman"/>
          <w:color w:val="212529"/>
          <w:kern w:val="0"/>
          <w:sz w:val="40"/>
          <w:szCs w:val="40"/>
        </w:rPr>
        <w:t>瞭望台</w:t>
      </w:r>
    </w:p>
    <w:p w:rsidR="00E611B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Sect="00E611BD">
          <w:type w:val="continuous"/>
          <w:pgSz w:w="23814" w:h="16839" w:orient="landscape" w:code="8"/>
          <w:pgMar w:top="1134" w:right="1474" w:bottom="1134" w:left="1474" w:header="851" w:footer="992" w:gutter="0"/>
          <w:cols w:space="1200"/>
          <w:docGrid w:type="lines" w:linePitch="360"/>
        </w:sectPr>
      </w:pPr>
    </w:p>
    <w:p w:rsidR="00F97ECA" w:rsidRPr="00F97ECA" w:rsidRDefault="00F97ECA" w:rsidP="000F09F5">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F97ECA">
        <w:rPr>
          <w:rFonts w:ascii="標楷體" w:eastAsia="標楷體" w:hAnsi="標楷體" w:cs="Times New Roman"/>
          <w:color w:val="212529"/>
          <w:kern w:val="0"/>
          <w:sz w:val="32"/>
          <w:szCs w:val="32"/>
        </w:rPr>
        <w:t>瞭望台是一種高架式的建築，一般而言，每</w:t>
      </w:r>
      <w:proofErr w:type="gramStart"/>
      <w:r w:rsidRPr="00F97ECA">
        <w:rPr>
          <w:rFonts w:ascii="標楷體" w:eastAsia="標楷體" w:hAnsi="標楷體" w:cs="Times New Roman"/>
          <w:color w:val="212529"/>
          <w:kern w:val="0"/>
          <w:sz w:val="32"/>
          <w:szCs w:val="32"/>
        </w:rPr>
        <w:t>個</w:t>
      </w:r>
      <w:proofErr w:type="gramEnd"/>
      <w:r w:rsidRPr="00F97ECA">
        <w:rPr>
          <w:rFonts w:ascii="標楷體" w:eastAsia="標楷體" w:hAnsi="標楷體" w:cs="Times New Roman"/>
          <w:color w:val="212529"/>
          <w:kern w:val="0"/>
          <w:sz w:val="32"/>
          <w:szCs w:val="32"/>
        </w:rPr>
        <w:t>部落都設置有一處</w:t>
      </w:r>
      <w:proofErr w:type="gramStart"/>
      <w:r w:rsidRPr="00F97ECA">
        <w:rPr>
          <w:rFonts w:ascii="標楷體" w:eastAsia="標楷體" w:hAnsi="標楷體" w:cs="Times New Roman"/>
          <w:color w:val="212529"/>
          <w:kern w:val="0"/>
          <w:sz w:val="32"/>
          <w:szCs w:val="32"/>
        </w:rPr>
        <w:t>暸</w:t>
      </w:r>
      <w:proofErr w:type="gramEnd"/>
      <w:r w:rsidRPr="00F97ECA">
        <w:rPr>
          <w:rFonts w:ascii="標楷體" w:eastAsia="標楷體" w:hAnsi="標楷體" w:cs="Times New Roman"/>
          <w:color w:val="212529"/>
          <w:kern w:val="0"/>
          <w:sz w:val="32"/>
          <w:szCs w:val="32"/>
        </w:rPr>
        <w:t>望台，目的是防禦外來敵人侵害，瞭望台對泰雅族人的意義，相當於「部落的眼睛」。</w:t>
      </w:r>
    </w:p>
    <w:p w:rsidR="00F97ECA" w:rsidRPr="00F97ECA" w:rsidRDefault="00F97ECA" w:rsidP="000F09F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CA">
        <w:rPr>
          <w:rFonts w:ascii="標楷體" w:eastAsia="標楷體" w:hAnsi="標楷體" w:cs="Times New Roman"/>
          <w:color w:val="212529"/>
          <w:kern w:val="0"/>
          <w:sz w:val="32"/>
          <w:szCs w:val="32"/>
        </w:rPr>
        <w:t>瞭望台以十數</w:t>
      </w:r>
      <w:proofErr w:type="gramStart"/>
      <w:r w:rsidRPr="00F97ECA">
        <w:rPr>
          <w:rFonts w:ascii="標楷體" w:eastAsia="標楷體" w:hAnsi="標楷體" w:cs="Times New Roman"/>
          <w:color w:val="212529"/>
          <w:kern w:val="0"/>
          <w:sz w:val="32"/>
          <w:szCs w:val="32"/>
        </w:rPr>
        <w:t>根粗木</w:t>
      </w:r>
      <w:proofErr w:type="gramEnd"/>
      <w:r w:rsidRPr="00F97ECA">
        <w:rPr>
          <w:rFonts w:ascii="標楷體" w:eastAsia="標楷體" w:hAnsi="標楷體" w:cs="Times New Roman"/>
          <w:color w:val="212529"/>
          <w:kern w:val="0"/>
          <w:sz w:val="32"/>
          <w:szCs w:val="32"/>
        </w:rPr>
        <w:t>或竹子做為柱子，台上可容納三、四人。每天會由族人</w:t>
      </w:r>
      <w:proofErr w:type="gramStart"/>
      <w:r w:rsidRPr="00F97ECA">
        <w:rPr>
          <w:rFonts w:ascii="標楷體" w:eastAsia="標楷體" w:hAnsi="標楷體" w:cs="Times New Roman"/>
          <w:color w:val="212529"/>
          <w:kern w:val="0"/>
          <w:sz w:val="32"/>
          <w:szCs w:val="32"/>
        </w:rPr>
        <w:t>輪流值勸</w:t>
      </w:r>
      <w:proofErr w:type="gramEnd"/>
      <w:r w:rsidRPr="00F97ECA">
        <w:rPr>
          <w:rFonts w:ascii="標楷體" w:eastAsia="標楷體" w:hAnsi="標楷體" w:cs="Times New Roman"/>
          <w:color w:val="212529"/>
          <w:kern w:val="0"/>
          <w:sz w:val="32"/>
          <w:szCs w:val="32"/>
        </w:rPr>
        <w:t>。瞭望台可以視為泰雅人尚武勇猛的表徵，它高聳地豎立在部落的出入口，看起來像威武的不可侵犯。</w:t>
      </w:r>
    </w:p>
    <w:p w:rsidR="00F97ECA" w:rsidRPr="00F97ECA" w:rsidRDefault="00F97ECA" w:rsidP="000F09F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CA">
        <w:rPr>
          <w:rFonts w:ascii="標楷體" w:eastAsia="標楷體" w:hAnsi="標楷體" w:cs="Times New Roman"/>
          <w:color w:val="212529"/>
          <w:kern w:val="0"/>
          <w:sz w:val="32"/>
          <w:szCs w:val="32"/>
        </w:rPr>
        <w:t>以前，泰雅族人擅戰，瞭望台是維護部落族人安全的警戒點，居高遠望部落裡外的狀況，瞭望台的設置十分重要。</w:t>
      </w:r>
    </w:p>
    <w:p w:rsidR="00F97ECA" w:rsidRPr="00F97ECA" w:rsidRDefault="00F97ECA" w:rsidP="000F09F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CA">
        <w:rPr>
          <w:rFonts w:ascii="標楷體" w:eastAsia="標楷體" w:hAnsi="標楷體" w:cs="Times New Roman"/>
          <w:color w:val="212529"/>
          <w:kern w:val="0"/>
          <w:sz w:val="32"/>
          <w:szCs w:val="32"/>
        </w:rPr>
        <w:t>瞭望台的建造以茅草，竹子，木頭等為主，以木或竹當成柱子架高，上面再蓋茅草，面向進部落的方向，製作</w:t>
      </w:r>
      <w:proofErr w:type="gramStart"/>
      <w:r w:rsidRPr="00F97ECA">
        <w:rPr>
          <w:rFonts w:ascii="標楷體" w:eastAsia="標楷體" w:hAnsi="標楷體" w:cs="Times New Roman"/>
          <w:color w:val="212529"/>
          <w:kern w:val="0"/>
          <w:sz w:val="32"/>
          <w:szCs w:val="32"/>
        </w:rPr>
        <w:t>竹梯才</w:t>
      </w:r>
      <w:proofErr w:type="gramEnd"/>
      <w:r w:rsidRPr="00F97ECA">
        <w:rPr>
          <w:rFonts w:ascii="標楷體" w:eastAsia="標楷體" w:hAnsi="標楷體" w:cs="Times New Roman"/>
          <w:color w:val="212529"/>
          <w:kern w:val="0"/>
          <w:sz w:val="32"/>
          <w:szCs w:val="32"/>
        </w:rPr>
        <w:t>得以上下。</w:t>
      </w:r>
    </w:p>
    <w:p w:rsidR="00F97ECA" w:rsidRPr="00F97ECA" w:rsidRDefault="00F97ECA" w:rsidP="000F09F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CA">
        <w:rPr>
          <w:rFonts w:ascii="標楷體" w:eastAsia="標楷體" w:hAnsi="標楷體" w:cs="Times New Roman"/>
          <w:color w:val="212529"/>
          <w:kern w:val="0"/>
          <w:sz w:val="32"/>
          <w:szCs w:val="32"/>
        </w:rPr>
        <w:t>比較講究的瞭望台，內部還設置火爐，平時用來熱食，冬天來臨，擔任「衛兵」的族人，高高在上，風</w:t>
      </w:r>
      <w:proofErr w:type="gramStart"/>
      <w:r w:rsidRPr="00F97ECA">
        <w:rPr>
          <w:rFonts w:ascii="標楷體" w:eastAsia="標楷體" w:hAnsi="標楷體" w:cs="Times New Roman"/>
          <w:color w:val="212529"/>
          <w:kern w:val="0"/>
          <w:sz w:val="32"/>
          <w:szCs w:val="32"/>
        </w:rPr>
        <w:t>寒露濕，</w:t>
      </w:r>
      <w:proofErr w:type="gramEnd"/>
      <w:r w:rsidRPr="00F97ECA">
        <w:rPr>
          <w:rFonts w:ascii="標楷體" w:eastAsia="標楷體" w:hAnsi="標楷體" w:cs="Times New Roman"/>
          <w:color w:val="212529"/>
          <w:kern w:val="0"/>
          <w:sz w:val="32"/>
          <w:szCs w:val="32"/>
        </w:rPr>
        <w:t>可烤火驅寒，也是非常好的。</w:t>
      </w:r>
    </w:p>
    <w:p w:rsidR="00F97ECA" w:rsidRPr="00F97ECA" w:rsidRDefault="00F97ECA" w:rsidP="000F09F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CA">
        <w:rPr>
          <w:rFonts w:ascii="標楷體" w:eastAsia="標楷體" w:hAnsi="標楷體" w:cs="Times New Roman"/>
          <w:color w:val="212529"/>
          <w:kern w:val="0"/>
          <w:sz w:val="32"/>
          <w:szCs w:val="32"/>
        </w:rPr>
        <w:t>瞭望台意義重大，除了是部落常見的建築物外，也代表家園的前哨、可以守護部落、防禦敵人入侵。站在上面可清楚看見部落的</w:t>
      </w:r>
      <w:proofErr w:type="gramStart"/>
      <w:r w:rsidRPr="00F97ECA">
        <w:rPr>
          <w:rFonts w:ascii="標楷體" w:eastAsia="標楷體" w:hAnsi="標楷體" w:cs="Times New Roman"/>
          <w:color w:val="212529"/>
          <w:kern w:val="0"/>
          <w:sz w:val="32"/>
          <w:szCs w:val="32"/>
        </w:rPr>
        <w:t>周圍，</w:t>
      </w:r>
      <w:proofErr w:type="gramEnd"/>
      <w:r w:rsidRPr="00F97ECA">
        <w:rPr>
          <w:rFonts w:ascii="標楷體" w:eastAsia="標楷體" w:hAnsi="標楷體" w:cs="Times New Roman"/>
          <w:color w:val="212529"/>
          <w:kern w:val="0"/>
          <w:sz w:val="32"/>
          <w:szCs w:val="32"/>
        </w:rPr>
        <w:t>觀察敵人的動向、防止入侵與干擾。</w:t>
      </w:r>
    </w:p>
    <w:p w:rsidR="00F97ECA" w:rsidRPr="00F97ECA" w:rsidRDefault="00F97ECA" w:rsidP="000F09F5">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97ECA">
        <w:rPr>
          <w:rFonts w:ascii="標楷體" w:eastAsia="標楷體" w:hAnsi="標楷體" w:cs="Times New Roman"/>
          <w:color w:val="212529"/>
          <w:kern w:val="0"/>
          <w:sz w:val="32"/>
          <w:szCs w:val="32"/>
        </w:rPr>
        <w:t>現在的「瞭望台」不再是防禦外來敵人侵害之用，而是具有教育意義的重要標的。有越來越多學校，把瞭望台設置於校園內，提供學生了解文化意涵。</w:t>
      </w:r>
    </w:p>
    <w:bookmarkEnd w:id="0"/>
    <w:p w:rsidR="007F62F8" w:rsidRPr="00F97ECA" w:rsidRDefault="007F62F8"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F62F8" w:rsidRPr="00AE7168" w:rsidRDefault="007F62F8"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7F62F8" w:rsidRPr="00AE7168" w:rsidSect="001D2E95">
          <w:type w:val="continuous"/>
          <w:pgSz w:w="23814" w:h="16839" w:orient="landscape" w:code="8"/>
          <w:pgMar w:top="1134" w:right="1474" w:bottom="1134" w:left="1474" w:header="851" w:footer="992" w:gutter="0"/>
          <w:cols w:num="2" w:space="1200"/>
          <w:docGrid w:type="lines" w:linePitch="360"/>
        </w:sectPr>
      </w:pPr>
    </w:p>
    <w:p w:rsidR="00601D0E" w:rsidRPr="00702E9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702E9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09F5"/>
    <w:rsid w:val="000F1095"/>
    <w:rsid w:val="000F1FA9"/>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2DE7"/>
    <w:rsid w:val="001F4011"/>
    <w:rsid w:val="001F40AE"/>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065A"/>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15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2F8"/>
    <w:rsid w:val="007F6353"/>
    <w:rsid w:val="007F638F"/>
    <w:rsid w:val="00800D26"/>
    <w:rsid w:val="008010C5"/>
    <w:rsid w:val="008018DF"/>
    <w:rsid w:val="00801FB6"/>
    <w:rsid w:val="0080252B"/>
    <w:rsid w:val="0080254E"/>
    <w:rsid w:val="00802A15"/>
    <w:rsid w:val="00803004"/>
    <w:rsid w:val="00803709"/>
    <w:rsid w:val="00803C4C"/>
    <w:rsid w:val="00803D05"/>
    <w:rsid w:val="0080442A"/>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0DC"/>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6F07"/>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4A3"/>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535"/>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54F"/>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86B"/>
    <w:rsid w:val="00F85AAA"/>
    <w:rsid w:val="00F872F6"/>
    <w:rsid w:val="00F87488"/>
    <w:rsid w:val="00F87C39"/>
    <w:rsid w:val="00F919E6"/>
    <w:rsid w:val="00F91EB6"/>
    <w:rsid w:val="00F9416E"/>
    <w:rsid w:val="00F941EB"/>
    <w:rsid w:val="00F9615D"/>
    <w:rsid w:val="00F9764D"/>
    <w:rsid w:val="00F97E18"/>
    <w:rsid w:val="00F97ECA"/>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02B12"/>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2773846">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6227782">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216496">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472685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8242780">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78484392">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7961992">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8815296">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0290838">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094029">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0184541">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31E28-6F63-4A16-856C-F55C58492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406</Words>
  <Characters>2319</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2022-05-06T06:41:00Z</dcterms:created>
  <dcterms:modified xsi:type="dcterms:W3CDTF">2022-05-06T06:46:00Z</dcterms:modified>
</cp:coreProperties>
</file>